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</w:pPr>
      <w:r>
        <w:rPr>
          <w:rFonts w:ascii="Arial" w:hAnsi="Arial"/>
          <w:b/>
          <w:color w:val="087E83"/>
          <w:sz w:val="18"/>
        </w:rPr>
        <w:t>ROTEIRO DE FALA DO PROFESSOR • EDIÇÃO 4.0</w:t>
      </w:r>
    </w:p>
    <w:p>
      <w:pPr>
        <w:pStyle w:val="Title"/>
      </w:pPr>
      <w:r>
        <w:t>Da ideia ao projeto</w:t>
      </w:r>
    </w:p>
    <w:p>
      <w:r>
        <w:rPr>
          <w:rFonts w:ascii="Arial" w:hAnsi="Arial"/>
        </w:rPr>
        <w:t>O Transformer no centro de um sistema que trabalha</w:t>
        <w:br/>
        <w:t>Prof. Francisco Javier Ropero Peláez • UFABC</w:t>
      </w:r>
    </w:p>
    <w:p>
      <w:pPr>
        <w:pStyle w:val="Heading2"/>
      </w:pPr>
      <w:r>
        <w:t>1 · Meu projeto e a ajuda que eu procuro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F8F0DF"/>
          </w:tcPr>
          <w:p>
            <w:pPr>
              <w:spacing w:before="120" w:after="120"/>
            </w:pPr>
            <w:r>
              <w:rPr>
                <w:rFonts w:ascii="Arial" w:hAnsi="Arial"/>
                <w:b/>
                <w:sz w:val="19"/>
              </w:rPr>
              <w:t>NA TELA  |  Abra “01 · O projeto”. Mantenha visíveis a apresentação e os vídeos. Use os parágrafos comuns como fala; os quadros NA TELA são instruções de operação.</w:t>
            </w:r>
          </w:p>
        </w:tc>
      </w:tr>
    </w:tbl>
    <w:p>
      <w:pPr>
        <w:spacing w:after="0"/>
      </w:pPr>
      <w:r>
        <w:rPr>
          <w:rFonts w:ascii="Arial" w:hAnsi="Arial"/>
        </w:rPr>
      </w:r>
    </w:p>
    <w:p>
      <w:r>
        <w:rPr>
          <w:rFonts w:ascii="Arial" w:hAnsi="Arial"/>
        </w:rPr>
        <w:t>Pessoal, até aqui estudamos o Transformer. Hoje quero mostrar o que acontece quando usamos um modelo como parte de um sistema que ajuda uma pessoa a desenvolver um projeto. Vou partir de um projeto meu, com materiais que venho reunindo há muitos anos.</w:t>
      </w:r>
    </w:p>
    <w:p>
      <w:r>
        <w:rPr>
          <w:rFonts w:ascii="Arial" w:hAnsi="Arial"/>
        </w:rPr>
        <w:t>Minha investigação relaciona uma hipótese sobre a Atlântida com o Site 145, uma região no Caribe descrita nos materiais que consultei, e com orientações de determinados monumentos. Stonehenge, Carnac e Angkor Wat aparecem entre os casos. Preparei um manuscrito, uma planilha, uma palestra e o romance W.</w:t>
      </w:r>
    </w:p>
    <w:p>
      <w:r>
        <w:rPr>
          <w:rFonts w:ascii="Arial" w:hAnsi="Arial"/>
        </w:rPr>
        <w:t>Vocês encontram aqui a minha apresentação no TEDxUFABC e uma entrevista ao Programa do Jô em duas partes. São formas de conhecer a proposta na voz do pesquisador. Não é preciso assistir a tudo agora nem assumir que uma apresentação pública comprova uma hipótese.</w:t>
      </w:r>
    </w:p>
    <w:p>
      <w:r>
        <w:rPr>
          <w:rFonts w:ascii="Arial" w:hAnsi="Arial"/>
        </w:rPr>
        <w:t>O problema que vamos trabalhar é prático: meus textos, números, referências e tarefas estão distribuídos. Quero localizar informações, conferir operações, preparar fichas e conservar o que ainda precisa de revisão. A curiosidade pelo tema ajuda a explorar, mas a atividade não avalia concordância com minha interpretação histórica.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DF5F4"/>
          </w:tcPr>
          <w:p>
            <w:pPr>
              <w:spacing w:before="120" w:after="120"/>
            </w:pPr>
            <w:r>
              <w:rPr>
                <w:rFonts w:ascii="Arial" w:hAnsi="Arial"/>
                <w:sz w:val="19"/>
              </w:rPr>
              <w:t>Percurso: projeto → arquitetura global → uso real do LLM pela ponte → detalhes dos módulos → comparação → atividade própria. Não comece pelos modos sem modelo.</w:t>
            </w:r>
          </w:p>
        </w:tc>
      </w:tr>
    </w:tbl>
    <w:p>
      <w:pPr>
        <w:spacing w:after="0"/>
      </w:pPr>
      <w:r>
        <w:rPr>
          <w:rFonts w:ascii="Arial" w:hAnsi="Arial"/>
        </w:rPr>
      </w:r>
    </w:p>
    <w:p>
      <w:r>
        <w:br w:type="page"/>
      </w:r>
    </w:p>
    <w:p>
      <w:pPr>
        <w:spacing w:after="100"/>
      </w:pPr>
      <w:r>
        <w:rPr>
          <w:rFonts w:ascii="Arial" w:hAnsi="Arial"/>
          <w:b/>
          <w:color w:val="087E83"/>
          <w:sz w:val="18"/>
        </w:rPr>
        <w:t>2 · VISÃO GLOBAL ANTES DOS MÓDULOS</w:t>
      </w:r>
    </w:p>
    <w:p>
      <w:pPr>
        <w:pStyle w:val="Heading1"/>
      </w:pPr>
      <w:r>
        <w:t>O conjunto precisa fazer sentido primeiro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F8F0DF"/>
          </w:tcPr>
          <w:p>
            <w:pPr>
              <w:spacing w:before="120" w:after="120"/>
            </w:pPr>
            <w:r>
              <w:rPr>
                <w:rFonts w:ascii="Arial" w:hAnsi="Arial"/>
                <w:b/>
                <w:sz w:val="19"/>
              </w:rPr>
              <w:t>NA TELA  |  Abra “02 · Como funciona”. Mostre o mapa completo, sem clicar ainda nos componentes.</w:t>
            </w:r>
          </w:p>
        </w:tc>
      </w:tr>
    </w:tbl>
    <w:p>
      <w:pPr>
        <w:spacing w:after="0"/>
      </w:pPr>
      <w:r>
        <w:rPr>
          <w:rFonts w:ascii="Arial" w:hAnsi="Arial"/>
        </w:rPr>
      </w:r>
    </w:p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5760000" cy="2899862"/>
            <wp:docPr id="1" name="Picture 1" descr="Mapa da edição estática 4.0. Modelo central, mediação do coordenador e funções ao redor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chitectur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8998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rFonts w:ascii="Arial" w:hAnsi="Arial"/>
        </w:rPr>
        <w:t>Mapa da edição estática 4.0. Modelo central, mediação do coordenador e funções ao redor.</w:t>
      </w:r>
    </w:p>
    <w:p>
      <w:r>
        <w:rPr>
          <w:rFonts w:ascii="Arial" w:hAnsi="Arial"/>
        </w:rPr>
        <w:t>No centro do nosso mapa está o modelo de linguagem, que relacionamos à arquitetura Transformer estudada. Ele recebe um contexto e pode propor uma resposta ou a próxima ação. Ao redor estão os recursos que dão acesso a informações e realizam operações fora da geração de texto.</w:t>
      </w:r>
    </w:p>
    <w:p>
      <w:r>
        <w:rPr>
          <w:rFonts w:ascii="Arial" w:hAnsi="Arial"/>
        </w:rPr>
        <w:t>O coordenador prepara a mensagem, verifica a proposta, chama a função e registra a observação. O buscador encontra fragmentos. O catálogo fornece números. A calculadora opera sobre esses números. O estado conserva o andamento, e eu continuo responsável por revisar e autorizar.</w:t>
      </w:r>
    </w:p>
    <w:p>
      <w:r>
        <w:rPr>
          <w:rFonts w:ascii="Arial" w:hAnsi="Arial"/>
        </w:rPr>
        <w:t>Colocar o modelo no centro não significa dar-lhe todas as permissões. A rede não se transforma em banco de dados nem abre nossos arquivos por vontade própria. O sistema é a colaboração entre as funções. Um mesmo programa pode implementar várias caixas.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DF5F4"/>
          </w:tcPr>
          <w:p>
            <w:pPr>
              <w:spacing w:before="120" w:after="120"/>
            </w:pPr>
            <w:r>
              <w:rPr>
                <w:rFonts w:ascii="Arial" w:hAnsi="Arial"/>
                <w:sz w:val="19"/>
              </w:rPr>
              <w:t>Esta é uma arquitetura funcional. Não é uma imagem dos tensores, das cabeças de atenção ou dos pensamentos internos do modelo.</w:t>
            </w:r>
          </w:p>
        </w:tc>
      </w:tr>
    </w:tbl>
    <w:p>
      <w:pPr>
        <w:spacing w:after="0"/>
      </w:pPr>
      <w:r>
        <w:rPr>
          <w:rFonts w:ascii="Arial" w:hAnsi="Arial"/>
        </w:rPr>
      </w:r>
    </w:p>
    <w:p>
      <w:r>
        <w:br w:type="page"/>
      </w:r>
    </w:p>
    <w:p>
      <w:pPr>
        <w:spacing w:after="100"/>
      </w:pPr>
      <w:r>
        <w:rPr>
          <w:rFonts w:ascii="Arial" w:hAnsi="Arial"/>
          <w:b/>
          <w:color w:val="087E83"/>
          <w:sz w:val="18"/>
        </w:rPr>
        <w:t>3 · DA ARQUITETURA À EXPERIÊNCIA</w:t>
      </w:r>
    </w:p>
    <w:p>
      <w:pPr>
        <w:pStyle w:val="Heading1"/>
      </w:pPr>
      <w:r>
        <w:t>Onde ficam o modelo e a aplicação?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F8F0DF"/>
          </w:tcPr>
          <w:p>
            <w:pPr>
              <w:spacing w:before="120" w:after="120"/>
            </w:pPr>
            <w:r>
              <w:rPr>
                <w:rFonts w:ascii="Arial" w:hAnsi="Arial"/>
                <w:b/>
                <w:sz w:val="19"/>
              </w:rPr>
              <w:t>NA TELA  |  Aponte “01 · O projeto”, “02 · Como funciona” e “03 · Explorar os módulos”. Mostre o acesso separado a “Material de aula”.</w:t>
            </w:r>
          </w:p>
        </w:tc>
      </w:tr>
    </w:tbl>
    <w:p>
      <w:pPr>
        <w:spacing w:after="0"/>
      </w:pPr>
      <w:r>
        <w:rPr>
          <w:rFonts w:ascii="Arial" w:hAnsi="Arial"/>
        </w:rPr>
      </w:r>
    </w:p>
    <w:p>
      <w:r>
        <w:rPr>
          <w:rFonts w:ascii="Arial" w:hAnsi="Arial"/>
        </w:rPr>
        <w:t>A primeira página apresenta a pesquisa e recebe um pedido de alguém que não precisa saber inteligência artificial. A segunda mostra o sistema inteiro. A terceira abre as funções, suas interfaces e os experimentos. Os documentos da disciplina ficam em Material de aula, não no centro da apresentação da pesquisa.</w:t>
      </w:r>
    </w:p>
    <w:p>
      <w:r>
        <w:rPr>
          <w:rFonts w:ascii="Arial" w:hAnsi="Arial"/>
        </w:rPr>
        <w:t>Nesta edição, o navegador executa o coordenador, a busca, a calculadora e o caderno. O HTML já traz uma biblioteca mínima com 15 fichas e 17 conjuntos de medições. Não precisamos de um banco remoto para que essa pequena coleção funcione.</w:t>
      </w:r>
    </w:p>
    <w:p>
      <w:r>
        <w:rPr>
          <w:rFonts w:ascii="Arial" w:hAnsi="Arial"/>
        </w:rPr>
        <w:t>O modelo real estará no chat que vamos consultar. Portanto, não confundam duas situações: não ter um Transformer instalado no site não significa que não usaremos um Transformer. Vamos usar o modelo externo como participante do ciclo, transportando suas mensagens manualmente.</w:t>
      </w:r>
    </w:p>
    <w:p>
      <w:r>
        <w:rPr>
          <w:rFonts w:ascii="Arial" w:hAnsi="Arial"/>
        </w:rPr>
        <w:t>Essa escolha permite publicar uma página estática sem API paga, servidor de aplicação ou senha de administrador. Não elimina a necessidade de acesso ao chat externo. Se o serviço limitar o uso, a turma pode acompanhar uma demonstração do professor; ninguém precisa compartilhar credenciais ou contratar um plano para completar o estudo da arquitetura.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73"/>
        <w:gridCol w:w="6265"/>
      </w:tblGrid>
      <w:tr>
        <w:trPr>
          <w:tblHeader/>
        </w:trPr>
        <w:tc>
          <w:tcPr>
            <w:tcW w:type="dxa" w:w="3373"/>
            <w:shd w:fill="143A41"/>
          </w:tcPr>
          <w:p>
            <w:r>
              <w:rPr>
                <w:b/>
                <w:color w:val="FFFFFF"/>
                <w:sz w:val="18"/>
              </w:rPr>
              <w:t>Nesta demonstração</w:t>
            </w:r>
          </w:p>
        </w:tc>
        <w:tc>
          <w:tcPr>
            <w:tcW w:type="dxa" w:w="6265"/>
            <w:shd w:fill="143A41"/>
          </w:tcPr>
          <w:p>
            <w:r>
              <w:rPr>
                <w:b/>
                <w:color w:val="FFFFFF"/>
                <w:sz w:val="18"/>
              </w:rPr>
              <w:t>Responsabilidade</w:t>
            </w:r>
          </w:p>
        </w:tc>
      </w:tr>
      <w:tr>
        <w:trPr>
          <w:cantSplit/>
        </w:trPr>
        <w:tc>
          <w:tcPr>
            <w:tcW w:type="dxa" w:w="3373"/>
            <w:vAlign w:val="top"/>
            <w:shd w:fill="F0F5F6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Site publicado</w:t>
            </w:r>
          </w:p>
        </w:tc>
        <w:tc>
          <w:tcPr>
            <w:tcW w:type="dxa" w:w="6265"/>
            <w:vAlign w:val="top"/>
            <w:shd w:fill="F0F5F6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Entrega a página e sua biblioteca inicial.</w:t>
            </w:r>
          </w:p>
        </w:tc>
      </w:tr>
      <w:tr>
        <w:trPr>
          <w:cantSplit/>
        </w:trPr>
        <w:tc>
          <w:tcPr>
            <w:tcW w:type="dxa" w:w="3373"/>
            <w:vAlign w:val="top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Navegador do participante</w:t>
            </w:r>
          </w:p>
        </w:tc>
        <w:tc>
          <w:tcPr>
            <w:tcW w:type="dxa" w:w="6265"/>
            <w:vAlign w:val="top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Executa as ferramentas, valida propostas e guarda o projeto pessoal.</w:t>
            </w:r>
          </w:p>
        </w:tc>
      </w:tr>
      <w:tr>
        <w:trPr>
          <w:cantSplit/>
        </w:trPr>
        <w:tc>
          <w:tcPr>
            <w:tcW w:type="dxa" w:w="3373"/>
            <w:vAlign w:val="top"/>
            <w:shd w:fill="F0F5F6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LLM no serviço escolhido</w:t>
            </w:r>
          </w:p>
        </w:tc>
        <w:tc>
          <w:tcPr>
            <w:tcW w:type="dxa" w:w="6265"/>
            <w:vAlign w:val="top"/>
            <w:shd w:fill="F0F5F6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Interpreta o contexto e gera uma proposta estruturada.</w:t>
            </w:r>
          </w:p>
        </w:tc>
      </w:tr>
      <w:tr>
        <w:trPr>
          <w:cantSplit/>
        </w:trPr>
        <w:tc>
          <w:tcPr>
            <w:tcW w:type="dxa" w:w="3373"/>
            <w:vAlign w:val="top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Pessoa</w:t>
            </w:r>
          </w:p>
        </w:tc>
        <w:tc>
          <w:tcPr>
            <w:tcW w:type="dxa" w:w="6265"/>
            <w:vAlign w:val="top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Transporta mensagens, observa e revisa.</w:t>
            </w:r>
          </w:p>
        </w:tc>
      </w:tr>
    </w:tbl>
    <w:p>
      <w:pPr>
        <w:spacing w:after="0"/>
      </w:pPr>
      <w:r>
        <w:rPr>
          <w:rFonts w:ascii="Arial" w:hAnsi="Arial"/>
        </w:rPr>
      </w:r>
    </w:p>
    <w:p>
      <w:r>
        <w:rPr>
          <w:rFonts w:ascii="Arial" w:hAnsi="Arial"/>
        </w:rPr>
        <w:t>Publicar o site não executa uma rede escondida e não mantém o agente trabalhando depois que fechamos a página. A função de cada caixa não se confunde com sua localização.</w:t>
      </w:r>
    </w:p>
    <w:p>
      <w:r>
        <w:br w:type="page"/>
      </w:r>
    </w:p>
    <w:p>
      <w:pPr>
        <w:spacing w:after="100"/>
      </w:pPr>
      <w:r>
        <w:rPr>
          <w:rFonts w:ascii="Arial" w:hAnsi="Arial"/>
          <w:b/>
          <w:color w:val="087E83"/>
          <w:sz w:val="18"/>
        </w:rPr>
        <w:t>4 · EXPLICAR O JSON ANTES DE COPIAR</w:t>
      </w:r>
    </w:p>
    <w:p>
      <w:pPr>
        <w:pStyle w:val="Heading1"/>
      </w:pPr>
      <w:r>
        <w:t>Do texto que a rede produz a uma operação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F8F0DF"/>
          </w:tcPr>
          <w:p>
            <w:pPr>
              <w:spacing w:before="120" w:after="120"/>
            </w:pPr>
            <w:r>
              <w:rPr>
                <w:rFonts w:ascii="Arial" w:hAnsi="Arial"/>
                <w:b/>
                <w:sz w:val="19"/>
              </w:rPr>
              <w:t>NA TELA  |  Ainda em “02 · Como funciona”, mostre “Quatro mensagens. Um ciclo verificável”. Depois volte à página do projeto.</w:t>
            </w:r>
          </w:p>
        </w:tc>
      </w:tr>
    </w:tbl>
    <w:p>
      <w:pPr>
        <w:spacing w:after="0"/>
      </w:pPr>
      <w:r>
        <w:rPr>
          <w:rFonts w:ascii="Arial" w:hAnsi="Arial"/>
        </w:rPr>
      </w:r>
    </w:p>
    <w:p>
      <w:r>
        <w:rPr>
          <w:rFonts w:ascii="Arial" w:hAnsi="Arial"/>
        </w:rPr>
        <w:t>Vamos distinguir quatro coisas. Primeiro, eu expresso uma intenção: “Fale-me do Site 145”. Segundo, o site transforma essa intenção num pedido completo: há regras, a lista de ferramentas e as observações já disponíveis. Esse texto é levado ao modelo.</w:t>
      </w:r>
    </w:p>
    <w:p>
      <w:r>
        <w:rPr>
          <w:rFonts w:ascii="Arial" w:hAnsi="Arial"/>
        </w:rPr>
        <w:t>Terceiro, o modelo gera uma mensagem em formato JSON. JSON quer dizer JavaScript Object Notation: um formato textual para representar dados. Não é um programa que executa sozinho. No nosso contrato, acao identifica a operação e argumentos fornece os dados que ela recebe.</w:t>
      </w:r>
    </w:p>
    <w:p>
      <w:pPr>
        <w:pStyle w:val="Codigo"/>
        <w:shd w:fill="F1F5F7"/>
      </w:pPr>
      <w:r>
        <w:rPr>
          <w:rFonts w:ascii="DejaVu Sans Mono" w:hAnsi="DejaVu Sans Mono"/>
          <w:sz w:val="18"/>
        </w:rPr>
        <w:t>{</w:t>
        <w:br/>
        <w:t xml:space="preserve">  "acao": "buscar_fontes",</w:t>
        <w:br/>
        <w:t xml:space="preserve">  "argumentos": {"consulta": "Site 145"}</w:t>
        <w:br/>
        <w:t>}</w:t>
      </w:r>
    </w:p>
    <w:p>
      <w:r>
        <w:rPr>
          <w:rFonts w:ascii="Arial" w:hAnsi="Arial"/>
        </w:rPr>
        <w:t>Aqui, a rede produziu tokens que foram decodificados como texto. O software interpreta esse texto como uma estrutura. Se o nome e os parâmetros forem permitidos, ele chama a função buscar_fontes. Assim, ligamos a saída textual do modelo a um efeito verificável no programa, sem mudar os pesos da rede.</w:t>
      </w:r>
    </w:p>
    <w:p>
      <w:r>
        <w:rPr>
          <w:rFonts w:ascii="Arial" w:hAnsi="Arial"/>
        </w:rPr>
        <w:t>Quarto, a função devolve uma observação: os fragmentos encontrados ou um erro. Esse resultado precisa voltar ao modelo. Sem ele, o modelo recebeu uma tarefa, mas não conhece o que nossa ferramenta realmente fez.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DF5F4"/>
          </w:tcPr>
          <w:p>
            <w:pPr>
              <w:spacing w:before="120" w:after="120"/>
            </w:pPr>
            <w:r>
              <w:rPr>
                <w:rFonts w:ascii="Arial" w:hAnsi="Arial"/>
                <w:sz w:val="19"/>
              </w:rPr>
              <w:t>Exemplo ilustrativo, não resposta de uma inferência realizada agora. As chaves e os campos pertencem ao contrato da aplicação. Qualidade da decisão e correção dos fatos não são garantidas por JSON válido. [S1, T1, T2]</w:t>
            </w:r>
          </w:p>
        </w:tc>
      </w:tr>
    </w:tbl>
    <w:p>
      <w:pPr>
        <w:spacing w:after="0"/>
      </w:pPr>
      <w:r>
        <w:rPr>
          <w:rFonts w:ascii="Arial" w:hAnsi="Arial"/>
        </w:rPr>
      </w:r>
    </w:p>
    <w:p>
      <w:r>
        <w:rPr>
          <w:rFonts w:ascii="Arial" w:hAnsi="Arial"/>
        </w:rPr>
        <w:t>A ponte não existe apenas porque não temos IA local. É uma maneira de substituir a integração automática de mensagens, que poderia ligar o programa a um modelo local ou remoto. Usamos o copiar e colar para tornar a interface visível e não contratar uma API.</w:t>
      </w:r>
    </w:p>
    <w:p>
      <w:r>
        <w:br w:type="page"/>
      </w:r>
    </w:p>
    <w:p>
      <w:pPr>
        <w:spacing w:after="100"/>
      </w:pPr>
      <w:r>
        <w:rPr>
          <w:rFonts w:ascii="Arial" w:hAnsi="Arial"/>
          <w:b/>
          <w:color w:val="087E83"/>
          <w:sz w:val="18"/>
        </w:rPr>
        <w:t>5 · PRIMEIRA RODADA COM UM MODELO REAL</w:t>
      </w:r>
    </w:p>
    <w:p>
      <w:pPr>
        <w:pStyle w:val="Heading1"/>
      </w:pPr>
      <w:r>
        <w:t>Levar instruções; trazer uma proposta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F8F0DF"/>
          </w:tcPr>
          <w:p>
            <w:pPr>
              <w:spacing w:before="120" w:after="120"/>
            </w:pPr>
            <w:r>
              <w:rPr>
                <w:rFonts w:ascii="Arial" w:hAnsi="Arial"/>
                <w:b/>
                <w:sz w:val="19"/>
              </w:rPr>
              <w:t>NA TELA  |  Abra uma segunda aba ou o aplicativo de IA autorizado. Em “01 · O projeto”, escreva: “Fale-me do Site 145 com base nos materiais disponíveis e indique as limitações dessas fontes”. Clique em “Pedir ajuda à IA”.</w:t>
            </w:r>
          </w:p>
        </w:tc>
      </w:tr>
    </w:tbl>
    <w:p>
      <w:pPr>
        <w:spacing w:after="0"/>
      </w:pPr>
      <w:r>
        <w:rPr>
          <w:rFonts w:ascii="Arial" w:hAnsi="Arial"/>
        </w:rPr>
      </w:r>
    </w:p>
    <w:p>
      <w:r>
        <w:rPr>
          <w:rFonts w:ascii="Arial" w:hAnsi="Arial"/>
        </w:rPr>
        <w:t>Agora faremos uma consulta real. O site não vai fingir que conversou com o modelo. Nós vamos transportar as mensagens e identificar o serviço utilizado. Em um celular, mantemos uma aba com o site e outra aba ou aplicativo com o chat.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F8F0DF"/>
          </w:tcPr>
          <w:p>
            <w:pPr>
              <w:spacing w:before="120" w:after="120"/>
            </w:pPr>
            <w:r>
              <w:rPr>
                <w:rFonts w:ascii="Arial" w:hAnsi="Arial"/>
                <w:b/>
                <w:sz w:val="19"/>
              </w:rPr>
              <w:t>NA TELA  |  Abra “Conferir o texto completo que será enviado à IA”. Mostre os títulos das seções do pedido, sem ler todos os dados.</w:t>
            </w:r>
          </w:p>
        </w:tc>
      </w:tr>
    </w:tbl>
    <w:p>
      <w:pPr>
        <w:spacing w:after="0"/>
      </w:pPr>
      <w:r>
        <w:rPr>
          <w:rFonts w:ascii="Arial" w:hAnsi="Arial"/>
        </w:rPr>
      </w:r>
    </w:p>
    <w:p>
      <w:r>
        <w:rPr>
          <w:rFonts w:ascii="Arial" w:hAnsi="Arial"/>
        </w:rPr>
        <w:t>O botão não copia simplesmente a minha pergunta. Copia uma instrução completa que estabelece como o modelo participa, quais ações pode solicitar, qual é o objetivo e quais observações já foram obtidas. No começo não há resultados de ferramentas. A biblioteca inteira não está automaticamente na cabeça do modelo.</w:t>
      </w:r>
    </w:p>
    <w:p>
      <w:pPr>
        <w:pStyle w:val="Heading2"/>
      </w:pPr>
      <w:r>
        <w:t>Miniatura pedagógica do pedido</w:t>
      </w:r>
    </w:p>
    <w:p>
      <w:pPr>
        <w:pStyle w:val="Codigo"/>
        <w:shd w:fill="F1F5F7"/>
      </w:pPr>
      <w:r>
        <w:rPr>
          <w:rFonts w:ascii="DejaVu Sans Mono" w:hAnsi="DejaVu Sans Mono"/>
          <w:sz w:val="18"/>
        </w:rPr>
        <w:t>Você participa de uma ponte manual.</w:t>
        <w:br/>
        <w:t>Devolva UM JSON com acao e argumentos.</w:t>
        <w:br/>
        <w:t>Não invente resultados de ferramentas.</w:t>
        <w:br/>
        <w:t>Pergunta: Fale-me do Site 145.</w:t>
        <w:br/>
        <w:t>Ação disponível: buscar_fontes({consulta: texto}).</w:t>
        <w:br/>
        <w:t>Observações até agora: nenhuma.</w:t>
        <w:br/>
        <w:t>Depois de consultar as fontes, finalize com a explicação.</w:t>
      </w:r>
    </w:p>
    <w:p>
      <w:r>
        <w:rPr>
          <w:rFonts w:ascii="Arial" w:hAnsi="Arial"/>
        </w:rPr>
        <w:t>Essa miniatura ajuda a entender a função do prompt, mas na prática levamos o texto completo do botão, que contém todas as ações e seus limites. Não trocamos por uma pergunta genérica.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F8F0DF"/>
          </w:tcPr>
          <w:p>
            <w:pPr>
              <w:spacing w:before="120" w:after="120"/>
            </w:pPr>
            <w:r>
              <w:rPr>
                <w:rFonts w:ascii="Arial" w:hAnsi="Arial"/>
                <w:b/>
                <w:sz w:val="19"/>
              </w:rPr>
              <w:t>NA TELA  |  Clique em “1 · Copiar contexto completo para a IA”. Cole tudo no chat e envie. Traga somente o JSON recebido; cole no site e mostre o aviso de reconhecimento antes de executar.</w:t>
            </w:r>
          </w:p>
        </w:tc>
      </w:tr>
    </w:tbl>
    <w:p>
      <w:pPr>
        <w:spacing w:after="0"/>
      </w:pPr>
      <w:r>
        <w:rPr>
          <w:rFonts w:ascii="Arial" w:hAnsi="Arial"/>
        </w:rPr>
      </w:r>
    </w:p>
    <w:p>
      <w:r>
        <w:rPr>
          <w:rFonts w:ascii="Arial" w:hAnsi="Arial"/>
        </w:rPr>
        <w:t>Se o modelo pediu buscar_fontes, ele ainda não pesquisou nossa biblioteca. Produziu uma solicitação. O site não é controlado diretamente pela outra aba. Colar a resposta também não executa nada: a operação aguarda nossa validação.</w:t>
      </w:r>
    </w:p>
    <w:p>
      <w:r>
        <w:br w:type="page"/>
      </w:r>
    </w:p>
    <w:p>
      <w:pPr>
        <w:spacing w:after="100"/>
      </w:pPr>
      <w:r>
        <w:rPr>
          <w:rFonts w:ascii="Arial" w:hAnsi="Arial"/>
          <w:b/>
          <w:color w:val="087E83"/>
          <w:sz w:val="18"/>
        </w:rPr>
        <w:t>6 · A OBSERVAÇÃO FECHA O CICLO</w:t>
      </w:r>
    </w:p>
    <w:p>
      <w:pPr>
        <w:pStyle w:val="Heading1"/>
      </w:pPr>
      <w:r>
        <w:t>Executar, devolver e concluir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F8F0DF"/>
          </w:tcPr>
          <w:p>
            <w:pPr>
              <w:spacing w:before="120" w:after="120"/>
            </w:pPr>
            <w:r>
              <w:rPr>
                <w:rFonts w:ascii="Arial" w:hAnsi="Arial"/>
                <w:b/>
                <w:sz w:val="19"/>
              </w:rPr>
              <w:t>NA TELA  |  Clique em “2 · Validar e executar o JSON”. Mostre “Busca executada — falta a IA redigir a resposta”, os fragmentos e suas referências.</w:t>
            </w:r>
          </w:p>
        </w:tc>
      </w:tr>
    </w:tbl>
    <w:p>
      <w:pPr>
        <w:spacing w:after="0"/>
      </w:pPr>
      <w:r>
        <w:rPr>
          <w:rFonts w:ascii="Arial" w:hAnsi="Arial"/>
        </w:rPr>
      </w:r>
    </w:p>
    <w:p>
      <w:r>
        <w:rPr>
          <w:rFonts w:ascii="Arial" w:hAnsi="Arial"/>
        </w:rPr>
        <w:t>Agora a busca aconteceu. O resultado é real e foi produzido pelo nosso programa. Podemos abrir os dados e conferir origem, localização e texto. Isso é diferente de o modelo escrever que encontrou uma fonte.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F8F0DF"/>
          </w:tcPr>
          <w:p>
            <w:pPr>
              <w:spacing w:before="120" w:after="120"/>
            </w:pPr>
            <w:r>
              <w:rPr>
                <w:rFonts w:ascii="Arial" w:hAnsi="Arial"/>
                <w:b/>
                <w:sz w:val="19"/>
              </w:rPr>
              <w:t>NA TELA  |  Clique em “3 · Copiar resultados + pergunta para a IA”. Abra o contexto atualizado e mostre “OBSERVAÇÕES REAIS ATÉ AGORA”. Envie esse texto à IA.</w:t>
            </w:r>
          </w:p>
        </w:tc>
      </w:tr>
    </w:tbl>
    <w:p>
      <w:pPr>
        <w:spacing w:after="0"/>
      </w:pPr>
      <w:r>
        <w:rPr>
          <w:rFonts w:ascii="Arial" w:hAnsi="Arial"/>
        </w:rPr>
      </w:r>
    </w:p>
    <w:p>
      <w:r>
        <w:rPr>
          <w:rFonts w:ascii="Arial" w:hAnsi="Arial"/>
        </w:rPr>
        <w:t>O novo pedido contém a minha pergunta e o que a ferramenta devolveu. Esse retorno permite decidir a próxima etapa com base no que aconteceu. Para uma pergunta informativa simples, esperamos uma explicação, não uma cadeia infinita de buscas.</w:t>
      </w:r>
    </w:p>
    <w:p>
      <w:pPr>
        <w:pStyle w:val="Heading2"/>
      </w:pPr>
      <w:r>
        <w:t>Uma resposta final possível, apenas como exemplo de formato</w:t>
      </w:r>
    </w:p>
    <w:p>
      <w:pPr>
        <w:pStyle w:val="Codigo"/>
        <w:shd w:fill="F1F5F7"/>
      </w:pPr>
      <w:r>
        <w:rPr>
          <w:rFonts w:ascii="DejaVu Sans Mono" w:hAnsi="DejaVu Sans Mono"/>
          <w:sz w:val="18"/>
        </w:rPr>
        <w:t>{</w:t>
        <w:br/>
        <w:t xml:space="preserve">  "acao": "finalizar",</w:t>
        <w:br/>
        <w:t xml:space="preserve">  "argumentos": {</w:t>
        <w:br/>
        <w:t xml:space="preserve">    "texto": "Segundo o manuscrito do autor, o projeto relaciona orientações de monumentos a uma região do Caribe. A ficha ART-INTRO-04 remete à página 4. A amostra não basta para validar a hipótese histórica nem contém os relatórios DSDP completos."</w:t>
        <w:br/>
        <w:t xml:space="preserve">  }</w:t>
        <w:br/>
        <w:t>}</w:t>
      </w:r>
    </w:p>
    <w:p>
      <w:r>
        <w:rPr>
          <w:rFonts w:ascii="Arial" w:hAnsi="Arial"/>
        </w:rPr>
        <w:t>Esse exemplo só seria adequado depois de receber a ficha mencionada. Na demonstração, usamos a resposta real do modelo e verificamos o que ela sustenta. A ação finalizar deve conter o texto que a pessoa pediu, não apenas “concluído”.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F8F0DF"/>
          </w:tcPr>
          <w:p>
            <w:pPr>
              <w:spacing w:before="120" w:after="120"/>
            </w:pPr>
            <w:r>
              <w:rPr>
                <w:rFonts w:ascii="Arial" w:hAnsi="Arial"/>
                <w:b/>
                <w:sz w:val="19"/>
              </w:rPr>
              <w:t>NA TELA  |  Cole a resposta recebida e valide. Mostre a explicação na página. Em “Como funciona”, observe a atividade; em “Explorar os módulos” → “Laboratório”, abra os dados de um evento.</w:t>
            </w:r>
          </w:p>
        </w:tc>
      </w:tr>
    </w:tbl>
    <w:p>
      <w:pPr>
        <w:spacing w:after="0"/>
      </w:pPr>
      <w:r>
        <w:rPr>
          <w:rFonts w:ascii="Arial" w:hAnsi="Arial"/>
        </w:rPr>
      </w:r>
    </w:p>
    <w:p>
      <w:r>
        <w:rPr>
          <w:rFonts w:ascii="Arial" w:hAnsi="Arial"/>
        </w:rPr>
        <w:t>O aluno transportou as mensagens; o modelo produziu as propostas; o programa validou e executou; a observação retornou ao modelo. Isso é um ciclo agêntico mediado por uma pessoa, não autonomia contínua.</w:t>
      </w:r>
    </w:p>
    <w:p>
      <w:r>
        <w:br w:type="page"/>
      </w:r>
    </w:p>
    <w:p>
      <w:pPr>
        <w:spacing w:after="100"/>
      </w:pPr>
      <w:r>
        <w:rPr>
          <w:rFonts w:ascii="Arial" w:hAnsi="Arial"/>
          <w:b/>
          <w:color w:val="087E83"/>
          <w:sz w:val="18"/>
        </w:rPr>
        <w:t>7 · DE RESPONDER A DESENVOLVER</w:t>
      </w:r>
    </w:p>
    <w:p>
      <w:pPr>
        <w:pStyle w:val="Heading1"/>
      </w:pPr>
      <w:r>
        <w:t>Um resultado que permanece no projeto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F8F0DF"/>
          </w:tcPr>
          <w:p>
            <w:pPr>
              <w:spacing w:before="120" w:after="120"/>
            </w:pPr>
            <w:r>
              <w:rPr>
                <w:rFonts w:ascii="Arial" w:hAnsi="Arial"/>
                <w:b/>
                <w:sz w:val="19"/>
              </w:rPr>
              <w:t>NA TELA  |  Inicie outro pedido: “Organize as fontes sobre Stonehenge em uma ficha, proponha uma tarefa de revisão e não publique nada”. Use a mesma ponte, uma ação por rodada.</w:t>
            </w:r>
          </w:p>
        </w:tc>
      </w:tr>
    </w:tbl>
    <w:p>
      <w:pPr>
        <w:spacing w:after="0"/>
      </w:pPr>
      <w:r>
        <w:rPr>
          <w:rFonts w:ascii="Arial" w:hAnsi="Arial"/>
        </w:rPr>
      </w:r>
    </w:p>
    <w:p>
      <w:r>
        <w:rPr>
          <w:rFonts w:ascii="Arial" w:hAnsi="Arial"/>
        </w:rPr>
        <w:t>A pergunta anterior pedia explicação. Agora peço um produto de trabalho. O modelo pode propor uma busca, uma tarefa e um rascunho. A ordem precisa respeitar os dados disponíveis; não precisamos impor uma sequência idêntica em todas as execuções.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73"/>
        <w:gridCol w:w="6265"/>
      </w:tblGrid>
      <w:tr>
        <w:trPr>
          <w:tblHeader/>
        </w:trPr>
        <w:tc>
          <w:tcPr>
            <w:tcW w:type="dxa" w:w="3373"/>
            <w:shd w:fill="143A41"/>
          </w:tcPr>
          <w:p>
            <w:r>
              <w:rPr>
                <w:b/>
                <w:color w:val="FFFFFF"/>
                <w:sz w:val="18"/>
              </w:rPr>
              <w:t>Proposta possível</w:t>
            </w:r>
          </w:p>
        </w:tc>
        <w:tc>
          <w:tcPr>
            <w:tcW w:type="dxa" w:w="6265"/>
            <w:shd w:fill="143A41"/>
          </w:tcPr>
          <w:p>
            <w:r>
              <w:rPr>
                <w:b/>
                <w:color w:val="FFFFFF"/>
                <w:sz w:val="18"/>
              </w:rPr>
              <w:t>O que o programa faz</w:t>
            </w:r>
          </w:p>
        </w:tc>
      </w:tr>
      <w:tr>
        <w:trPr>
          <w:cantSplit/>
        </w:trPr>
        <w:tc>
          <w:tcPr>
            <w:tcW w:type="dxa" w:w="3373"/>
            <w:vAlign w:val="top"/>
            <w:shd w:fill="F0F5F6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buscar_fontes + consulta</w:t>
            </w:r>
          </w:p>
        </w:tc>
        <w:tc>
          <w:tcPr>
            <w:tcW w:type="dxa" w:w="6265"/>
            <w:vAlign w:val="top"/>
            <w:shd w:fill="F0F5F6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Recupera os fragmentos que voltarão ao contexto.</w:t>
            </w:r>
          </w:p>
        </w:tc>
      </w:tr>
      <w:tr>
        <w:trPr>
          <w:cantSplit/>
        </w:trPr>
        <w:tc>
          <w:tcPr>
            <w:tcW w:type="dxa" w:w="3373"/>
            <w:vAlign w:val="top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propor_tarefa + titulo</w:t>
            </w:r>
          </w:p>
        </w:tc>
        <w:tc>
          <w:tcPr>
            <w:tcW w:type="dxa" w:w="6265"/>
            <w:vAlign w:val="top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Registra uma pendência no caderno.</w:t>
            </w:r>
          </w:p>
        </w:tc>
      </w:tr>
      <w:tr>
        <w:trPr>
          <w:cantSplit/>
        </w:trPr>
        <w:tc>
          <w:tcPr>
            <w:tcW w:type="dxa" w:w="3373"/>
            <w:vAlign w:val="top"/>
            <w:shd w:fill="F0F5F6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criar_rascunho + titulo e texto</w:t>
            </w:r>
          </w:p>
        </w:tc>
        <w:tc>
          <w:tcPr>
            <w:tcW w:type="dxa" w:w="6265"/>
            <w:vAlign w:val="top"/>
            <w:shd w:fill="F0F5F6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Guarda uma ficha pendente; a redação veio do modelo.</w:t>
            </w:r>
          </w:p>
        </w:tc>
      </w:tr>
      <w:tr>
        <w:trPr>
          <w:cantSplit/>
        </w:trPr>
        <w:tc>
          <w:tcPr>
            <w:tcW w:type="dxa" w:w="3373"/>
            <w:vAlign w:val="top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finalizar + texto</w:t>
            </w:r>
          </w:p>
        </w:tc>
        <w:tc>
          <w:tcPr>
            <w:tcW w:type="dxa" w:w="6265"/>
            <w:vAlign w:val="top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Encerra e informa o que foi feito e o que falta.</w:t>
            </w:r>
          </w:p>
        </w:tc>
      </w:tr>
    </w:tbl>
    <w:p>
      <w:pPr>
        <w:spacing w:after="0"/>
      </w:pPr>
      <w:r>
        <w:rPr>
          <w:rFonts w:ascii="Arial" w:hAnsi="Arial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F8F0DF"/>
          </w:tcPr>
          <w:p>
            <w:pPr>
              <w:spacing w:before="120" w:after="120"/>
            </w:pPr>
            <w:r>
              <w:rPr>
                <w:rFonts w:ascii="Arial" w:hAnsi="Arial"/>
                <w:b/>
                <w:sz w:val="19"/>
              </w:rPr>
              <w:t>NA TELA  |  Abra “Continuar meu trabalho”. Leia o rascunho e mostre “Aprovar nesta cópia” e “Exportar projeto”.</w:t>
            </w:r>
          </w:p>
        </w:tc>
      </w:tr>
    </w:tbl>
    <w:p>
      <w:pPr>
        <w:spacing w:after="0"/>
      </w:pPr>
      <w:r>
        <w:rPr>
          <w:rFonts w:ascii="Arial" w:hAnsi="Arial"/>
        </w:rPr>
      </w:r>
    </w:p>
    <w:p>
      <w:r>
        <w:rPr>
          <w:rFonts w:ascii="Arial" w:hAnsi="Arial"/>
        </w:rPr>
        <w:t>Aqui há um avanço: tenho referências organizadas e uma pendência para continuar. Eu posso revisar antes de aprovar. Aprovar nesta cópia não publica na Internet. O site não tem a função de alterar a biblioteca comum dos visitantes.</w:t>
      </w:r>
    </w:p>
    <w:p>
      <w:r>
        <w:rPr>
          <w:rFonts w:ascii="Arial" w:hAnsi="Arial"/>
        </w:rPr>
        <w:t>O backup usa JSON também, mas com outro contrato. Ele guarda o objetivo, notas, fichas, tarefas e registros. Não é uma ação do modelo. O backup vai em Importar projeto; a proposta acao/argumentos vai no campo da ponte. Usar o mesmo formato de dados não torna esses arquivos intercambiáveis.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DF5F4"/>
          </w:tcPr>
          <w:p>
            <w:pPr>
              <w:spacing w:before="120" w:after="120"/>
            </w:pPr>
            <w:r>
              <w:rPr>
                <w:rFonts w:ascii="Arial" w:hAnsi="Arial"/>
                <w:sz w:val="19"/>
              </w:rPr>
              <w:t>As atividades não são enviadas automaticamente. Peça exportação, capturas e respostas pelo canal da disciplina. Ao trocar de origem, aparelho ou navegador, o aluno precisa transportar o backup.</w:t>
            </w:r>
          </w:p>
        </w:tc>
      </w:tr>
    </w:tbl>
    <w:p>
      <w:pPr>
        <w:spacing w:after="0"/>
      </w:pPr>
      <w:r>
        <w:rPr>
          <w:rFonts w:ascii="Arial" w:hAnsi="Arial"/>
        </w:rPr>
      </w:r>
    </w:p>
    <w:p>
      <w:r>
        <w:br w:type="page"/>
      </w:r>
    </w:p>
    <w:p>
      <w:pPr>
        <w:spacing w:after="100"/>
      </w:pPr>
      <w:r>
        <w:rPr>
          <w:rFonts w:ascii="Arial" w:hAnsi="Arial"/>
          <w:b/>
          <w:color w:val="087E83"/>
          <w:sz w:val="18"/>
        </w:rPr>
        <w:t>8 · ABRIR OS MÓDULOS DEPOIS DO CONJUNTO</w:t>
      </w:r>
    </w:p>
    <w:p>
      <w:pPr>
        <w:pStyle w:val="Heading1"/>
      </w:pPr>
      <w:r>
        <w:t>Cada componente resolve uma necessidade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F8F0DF"/>
          </w:tcPr>
          <w:p>
            <w:pPr>
              <w:spacing w:before="120" w:after="120"/>
            </w:pPr>
            <w:r>
              <w:rPr>
                <w:rFonts w:ascii="Arial" w:hAnsi="Arial"/>
                <w:b/>
                <w:sz w:val="19"/>
              </w:rPr>
              <w:t>NA TELA  |  Abra “03 · Explorar os módulos”. Selecione Modelo, Coordenador, Biblioteca e busca, Catálogo, Calculadora e Estado, relacionando cada caixa à execução anterior.</w:t>
            </w:r>
          </w:p>
        </w:tc>
      </w:tr>
    </w:tbl>
    <w:p>
      <w:pPr>
        <w:spacing w:after="0"/>
      </w:pPr>
      <w:r>
        <w:rPr>
          <w:rFonts w:ascii="Arial" w:hAnsi="Arial"/>
        </w:rPr>
      </w:r>
    </w:p>
    <w:p>
      <w:r>
        <w:rPr>
          <w:rFonts w:ascii="Arial" w:hAnsi="Arial"/>
        </w:rPr>
        <w:t>Agora os nomes têm significado. Já vimos uma consulta sair do modelo e uma resposta voltar. A interface recolhe a intenção. O coordenador controla as operações aceitas. A recuperação seleciona trechos. O catálogo entrega números com procedência. A ferramenta calcula. O estado conserva o andamento.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F8F0DF"/>
          </w:tcPr>
          <w:p>
            <w:pPr>
              <w:spacing w:before="120" w:after="120"/>
            </w:pPr>
            <w:r>
              <w:rPr>
                <w:rFonts w:ascii="Arial" w:hAnsi="Arial"/>
                <w:b/>
                <w:sz w:val="19"/>
              </w:rPr>
              <w:t>NA TELA  |  Em “Biblioteca”, acrescente a nota didática AURORA27 descrita no guia dos alunos; depois pesquise pelo marcador.</w:t>
            </w:r>
          </w:p>
        </w:tc>
      </w:tr>
    </w:tbl>
    <w:p>
      <w:pPr>
        <w:spacing w:after="0"/>
      </w:pPr>
      <w:r>
        <w:rPr>
          <w:rFonts w:ascii="Arial" w:hAnsi="Arial"/>
        </w:rPr>
      </w:r>
    </w:p>
    <w:p>
      <w:r>
        <w:rPr>
          <w:rFonts w:ascii="Arial" w:hAnsi="Arial"/>
        </w:rPr>
        <w:t>Acrescentar uma nota atualiza a coleção pessoal, não os pesos do Transformer. Primeiro o material fica guardado. Depois a busca seleciona um trecho. Finalmente, se o trecho for incluído no contexto, o modelo pode utilizá-lo na geração. Essa combinação é o que estudamos como RAG.</w:t>
      </w:r>
    </w:p>
    <w:p>
      <w:r>
        <w:rPr>
          <w:rFonts w:ascii="Arial" w:hAnsi="Arial"/>
        </w:rPr>
        <w:t>A recuperação desta versão é lexical, por termos. Não usa embeddings. Uma base vetorial poderia ser útil em outro volume ou tipo de coleção, mas não é obrigatória para demonstrar recuperação apoiando geração. Não acrescentamos uma tecnologia só porque ela tem um nome conhecido.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F8F0DF"/>
          </w:tcPr>
          <w:p>
            <w:pPr>
              <w:spacing w:before="120" w:after="120"/>
            </w:pPr>
            <w:r>
              <w:rPr>
                <w:rFonts w:ascii="Arial" w:hAnsi="Arial"/>
                <w:b/>
                <w:sz w:val="19"/>
              </w:rPr>
              <w:t>NA TELA  |  Opcional: abra “Explorar alinhamentos”, carregue Stonehenge e calcule. Mostre “Ver por dentro” e feche a janela para retornar.</w:t>
            </w:r>
          </w:p>
        </w:tc>
      </w:tr>
    </w:tbl>
    <w:p>
      <w:pPr>
        <w:spacing w:after="0"/>
      </w:pPr>
      <w:r>
        <w:rPr>
          <w:rFonts w:ascii="Arial" w:hAnsi="Arial"/>
        </w:rPr>
      </w:r>
    </w:p>
    <w:p>
      <w:r>
        <w:rPr>
          <w:rFonts w:ascii="Arial" w:hAnsi="Arial"/>
        </w:rPr>
        <w:t>A mesma função matemática pode ser chamada pelo formulário ou pelo coordenador após um pedido do modelo. Na ponte, ler_medicoes vem antes de calcular_alinhamento. A segunda ação usa argumentos vazios porque os dados já estão no estado, não porque calcule sem entradas.</w:t>
      </w:r>
    </w:p>
    <w:p>
      <w:r>
        <w:rPr>
          <w:rFonts w:ascii="Arial" w:hAnsi="Arial"/>
        </w:rPr>
        <w:t>O método preserva as fórmulas do XLS. O diagnóstico adicional é plano, identificado separadamente. Não apresentamos isso como cálculo geodésico de loxodromas ou confirmação da hipótese. O foco é quem forneceu os dados, quem calculou e como documentamos o resultado.</w:t>
      </w:r>
    </w:p>
    <w:p>
      <w:r>
        <w:br w:type="page"/>
      </w:r>
    </w:p>
    <w:p>
      <w:pPr>
        <w:spacing w:after="100"/>
      </w:pPr>
      <w:r>
        <w:rPr>
          <w:rFonts w:ascii="Arial" w:hAnsi="Arial"/>
          <w:b/>
          <w:color w:val="087E83"/>
          <w:sz w:val="18"/>
        </w:rPr>
        <w:t>9 · COMPARAR SEM ESCONDER A ORIGEM</w:t>
      </w:r>
    </w:p>
    <w:p>
      <w:pPr>
        <w:pStyle w:val="Heading1"/>
      </w:pPr>
      <w:r>
        <w:t>Retire o modelo e observe o que permanece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F8F0DF"/>
          </w:tcPr>
          <w:p>
            <w:pPr>
              <w:spacing w:before="120" w:after="120"/>
            </w:pPr>
            <w:r>
              <w:rPr>
                <w:rFonts w:ascii="Arial" w:hAnsi="Arial"/>
                <w:b/>
                <w:sz w:val="19"/>
              </w:rPr>
              <w:t>NA TELA  |  No Laboratório, use “Fluxo fixo” com um encargo de organização. Depois faça a comparação de falha: “Consultar fontes e conferir uma medição” e retirada do ponto B. Repita com “Agente guiado”.</w:t>
            </w:r>
          </w:p>
        </w:tc>
      </w:tr>
    </w:tbl>
    <w:p>
      <w:pPr>
        <w:spacing w:after="0"/>
      </w:pPr>
      <w:r>
        <w:rPr>
          <w:rFonts w:ascii="Arial" w:hAnsi="Arial"/>
        </w:rPr>
      </w:r>
    </w:p>
    <w:p>
      <w:r>
        <w:rPr>
          <w:rFonts w:ascii="Arial" w:hAnsi="Arial"/>
        </w:rPr>
        <w:t>Agora que usamos o modelo real, podemos estudar a sua contribuição por comparação. No fluxo fixo, o código estabelece a sequência e usa um molde para redigir. No modo guiado, regras didáticas escolhem ações considerando recursos e resultados. Nenhum dos dois consulta um LLM.</w:t>
      </w:r>
    </w:p>
    <w:p>
      <w:r>
        <w:rPr>
          <w:rFonts w:ascii="Arial" w:hAnsi="Arial"/>
        </w:rPr>
        <w:t>A busca, a calculadora e o armazenamento podem ser exatamente os mesmos. O que mudou é quem propõe a ação e como o texto é produzido. Um sistema com muitos módulos não é automaticamente um agente baseado em Transformer.</w:t>
      </w:r>
    </w:p>
    <w:p>
      <w:r>
        <w:rPr>
          <w:rFonts w:ascii="Arial" w:hAnsi="Arial"/>
        </w:rPr>
        <w:t>Quando falta B, não aceitamos um número inventado para preencher a demonstração. Observamos se o cálculo foi tentado e recusado ou se uma regra evitou essa chamada. Na execução com LLM, observaríamos o que o modelo realmente propôs, que pode ser adequado ou não.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F8F0DF"/>
          </w:tcPr>
          <w:p>
            <w:pPr>
              <w:spacing w:before="120" w:after="120"/>
            </w:pPr>
            <w:r>
              <w:rPr>
                <w:rFonts w:ascii="Arial" w:hAnsi="Arial"/>
                <w:b/>
                <w:sz w:val="19"/>
              </w:rPr>
              <w:t>NA TELA  |  Desmarque a falta de B. Desative Cálculo e inicie nova execução. Mostre também “Tentar ação ‘publicar’”.</w:t>
            </w:r>
          </w:p>
        </w:tc>
      </w:tr>
    </w:tbl>
    <w:p>
      <w:pPr>
        <w:spacing w:after="0"/>
      </w:pPr>
      <w:r>
        <w:rPr>
          <w:rFonts w:ascii="Arial" w:hAnsi="Arial"/>
        </w:rPr>
      </w:r>
    </w:p>
    <w:p>
      <w:r>
        <w:rPr>
          <w:rFonts w:ascii="Arial" w:hAnsi="Arial"/>
        </w:rPr>
        <w:t>Permissões e contrato são responsabilidade do software. O modelo não ganha autorização para publicar porque escreveu esse nome. Nesta página estática o teste limita o percurso didático; não é uma barreira de autenticação para um banco remoto. Cada participante só altera sua cópia.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DF5F4"/>
          </w:tcPr>
          <w:p>
            <w:pPr>
              <w:spacing w:before="120" w:after="120"/>
            </w:pPr>
            <w:r>
              <w:rPr>
                <w:rFonts w:ascii="Arial" w:hAnsi="Arial"/>
                <w:sz w:val="19"/>
              </w:rPr>
              <w:t>Se a IA externa falhar na aula, use os modos de comparação com o rótulo correto. Não transforme uma simulação em “modelo real” para salvar a apresentação. Uma proposta conhecida pode testar a interface, explicitamente como exemplo.</w:t>
            </w:r>
          </w:p>
        </w:tc>
      </w:tr>
    </w:tbl>
    <w:p>
      <w:pPr>
        <w:spacing w:after="0"/>
      </w:pPr>
      <w:r>
        <w:rPr>
          <w:rFonts w:ascii="Arial" w:hAnsi="Arial"/>
        </w:rPr>
      </w:r>
    </w:p>
    <w:p>
      <w:r>
        <w:br w:type="page"/>
      </w:r>
    </w:p>
    <w:p>
      <w:pPr>
        <w:spacing w:after="100"/>
      </w:pPr>
      <w:r>
        <w:rPr>
          <w:rFonts w:ascii="Arial" w:hAnsi="Arial"/>
          <w:b/>
          <w:color w:val="087E83"/>
          <w:sz w:val="18"/>
        </w:rPr>
        <w:t>10 · O TRABALHO DOS ALUNOS</w:t>
      </w:r>
    </w:p>
    <w:p>
      <w:pPr>
        <w:pStyle w:val="Heading1"/>
      </w:pPr>
      <w:r>
        <w:t>O que observar, preencher e entregar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F8F0DF"/>
          </w:tcPr>
          <w:p>
            <w:pPr>
              <w:spacing w:before="120" w:after="120"/>
            </w:pPr>
            <w:r>
              <w:rPr>
                <w:rFonts w:ascii="Arial" w:hAnsi="Arial"/>
                <w:b/>
                <w:sz w:val="19"/>
              </w:rPr>
              <w:t>NA TELA  |  Abra Guia_Aluno_Site145_Estatico_PT.docx ou “Ler no celular”. Mostre os campos de resposta; não projete as soluções antes da prática.</w:t>
            </w:r>
          </w:p>
        </w:tc>
      </w:tr>
    </w:tbl>
    <w:p>
      <w:pPr>
        <w:spacing w:after="0"/>
      </w:pPr>
      <w:r>
        <w:rPr>
          <w:rFonts w:ascii="Arial" w:hAnsi="Arial"/>
        </w:rPr>
      </w:r>
    </w:p>
    <w:p>
      <w:r>
        <w:rPr>
          <w:rFonts w:ascii="Arial" w:hAnsi="Arial"/>
        </w:rPr>
        <w:t>O roteiro é um instrumento para observar o sistema. Não peço uma resposta genérica como “a IA fez”. Quero que identifiquem o pedido, o contexto, a proposta, a ferramenta executada, o resultado e a decisão humana.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73"/>
        <w:gridCol w:w="6265"/>
      </w:tblGrid>
      <w:tr>
        <w:trPr>
          <w:tblHeader/>
        </w:trPr>
        <w:tc>
          <w:tcPr>
            <w:tcW w:type="dxa" w:w="3373"/>
            <w:shd w:fill="143A41"/>
          </w:tcPr>
          <w:p>
            <w:r>
              <w:rPr>
                <w:b/>
                <w:color w:val="FFFFFF"/>
                <w:sz w:val="18"/>
              </w:rPr>
              <w:t>Atividade</w:t>
            </w:r>
          </w:p>
        </w:tc>
        <w:tc>
          <w:tcPr>
            <w:tcW w:type="dxa" w:w="6265"/>
            <w:shd w:fill="143A41"/>
          </w:tcPr>
          <w:p>
            <w:r>
              <w:rPr>
                <w:b/>
                <w:color w:val="FFFFFF"/>
                <w:sz w:val="18"/>
              </w:rPr>
              <w:t>Perguntas / evidência</w:t>
            </w:r>
          </w:p>
        </w:tc>
      </w:tr>
      <w:tr>
        <w:trPr>
          <w:cantSplit/>
        </w:trPr>
        <w:tc>
          <w:tcPr>
            <w:tcW w:type="dxa" w:w="3373"/>
            <w:vAlign w:val="top"/>
            <w:shd w:fill="F0F5F6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1 · Projeto e visão global</w:t>
            </w:r>
          </w:p>
        </w:tc>
        <w:tc>
          <w:tcPr>
            <w:tcW w:type="dxa" w:w="6265"/>
            <w:vAlign w:val="top"/>
            <w:shd w:fill="F0F5F6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Q1–Q3: necessidade, módulos e localização.</w:t>
            </w:r>
          </w:p>
        </w:tc>
      </w:tr>
      <w:tr>
        <w:trPr>
          <w:cantSplit/>
        </w:trPr>
        <w:tc>
          <w:tcPr>
            <w:tcW w:type="dxa" w:w="3373"/>
            <w:vAlign w:val="top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2 · Ponte real e retorno</w:t>
            </w:r>
          </w:p>
        </w:tc>
        <w:tc>
          <w:tcPr>
            <w:tcW w:type="dxa" w:w="6265"/>
            <w:vAlign w:val="top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Q4–Q8: prompt, JSON, observação e resposta fundamentada.</w:t>
            </w:r>
          </w:p>
        </w:tc>
      </w:tr>
      <w:tr>
        <w:trPr>
          <w:cantSplit/>
        </w:trPr>
        <w:tc>
          <w:tcPr>
            <w:tcW w:type="dxa" w:w="3373"/>
            <w:vAlign w:val="top"/>
            <w:shd w:fill="F0F5F6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3 · Biblioteca</w:t>
            </w:r>
          </w:p>
        </w:tc>
        <w:tc>
          <w:tcPr>
            <w:tcW w:type="dxa" w:w="6265"/>
            <w:vAlign w:val="top"/>
            <w:shd w:fill="F0F5F6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Q9–Q11: nota local, recuperação, contexto e limites.</w:t>
            </w:r>
          </w:p>
        </w:tc>
      </w:tr>
      <w:tr>
        <w:trPr>
          <w:cantSplit/>
        </w:trPr>
        <w:tc>
          <w:tcPr>
            <w:tcW w:type="dxa" w:w="3373"/>
            <w:vAlign w:val="top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4 · Falhas e comparação</w:t>
            </w:r>
          </w:p>
        </w:tc>
        <w:tc>
          <w:tcPr>
            <w:tcW w:type="dxa" w:w="6265"/>
            <w:vAlign w:val="top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Q12–Q14: dependências, origem da seleção e contrato.</w:t>
            </w:r>
          </w:p>
        </w:tc>
      </w:tr>
      <w:tr>
        <w:trPr>
          <w:cantSplit/>
        </w:trPr>
        <w:tc>
          <w:tcPr>
            <w:tcW w:type="dxa" w:w="3373"/>
            <w:vAlign w:val="top"/>
            <w:shd w:fill="F0F5F6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5 · Continuidade</w:t>
            </w:r>
          </w:p>
        </w:tc>
        <w:tc>
          <w:tcPr>
            <w:tcW w:type="dxa" w:w="6265"/>
            <w:vAlign w:val="top"/>
            <w:shd w:fill="F0F5F6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Q15–Q17: revisão, backup e execução no navegador.</w:t>
            </w:r>
          </w:p>
        </w:tc>
      </w:tr>
      <w:tr>
        <w:trPr>
          <w:cantSplit/>
        </w:trPr>
        <w:tc>
          <w:tcPr>
            <w:tcW w:type="dxa" w:w="3373"/>
            <w:vAlign w:val="top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Exploração opcional</w:t>
            </w:r>
          </w:p>
        </w:tc>
        <w:tc>
          <w:tcPr>
            <w:tcW w:type="dxa" w:w="6265"/>
            <w:vAlign w:val="top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Q18–Q19: ferramenta matemática e procedência.</w:t>
            </w:r>
          </w:p>
        </w:tc>
      </w:tr>
      <w:tr>
        <w:trPr>
          <w:cantSplit/>
        </w:trPr>
        <w:tc>
          <w:tcPr>
            <w:tcW w:type="dxa" w:w="3373"/>
            <w:vAlign w:val="top"/>
            <w:shd w:fill="F0F5F6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6 · Projeto próprio</w:t>
            </w:r>
          </w:p>
        </w:tc>
        <w:tc>
          <w:tcPr>
            <w:tcW w:type="dxa" w:w="6265"/>
            <w:vAlign w:val="top"/>
            <w:shd w:fill="F0F5F6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Q20: desenho mínimo e justificado.</w:t>
            </w:r>
          </w:p>
        </w:tc>
      </w:tr>
    </w:tbl>
    <w:p>
      <w:pPr>
        <w:spacing w:after="0"/>
      </w:pPr>
      <w:r>
        <w:rPr>
          <w:rFonts w:ascii="Arial" w:hAnsi="Arial"/>
        </w:rPr>
      </w:r>
    </w:p>
    <w:p>
      <w:r>
        <w:rPr>
          <w:rFonts w:ascii="Arial" w:hAnsi="Arial"/>
        </w:rPr>
        <w:t>Vocês podem trabalhar no Word ou num relatório seguindo a mesma numeração. Registrem o serviço usado quando houver LLM; não adivinhem o nome do modelo. Entreguem capturas escolhidas, uma proposta e seu resultado, o projeto exportado com dados autorizados e o desenho da ideia própria.</w:t>
      </w:r>
    </w:p>
    <w:p>
      <w:r>
        <w:rPr>
          <w:rFonts w:ascii="Arial" w:hAnsi="Arial"/>
        </w:rPr>
        <w:t>Na última atividade, pensem numa necessidade de vocês. Pode ser um TCC ou algo fora da universidade. Definam um resultado pequeno e verificável e só incluam módulos que ajudem a produzi-lo. O objetivo final é que vocês saibam materializar uma ajuda para um projeto, mantendo o controle sobre os dados, as decisões e os resultados.</w:t>
      </w:r>
    </w:p>
    <w:p>
      <w:r>
        <w:rPr>
          <w:rFonts w:ascii="Arial" w:hAnsi="Arial"/>
        </w:rPr>
        <w:t>As soluções estão apenas no final do guia. Uma falha bem identificada e explicada pode demonstrar mais compreensão do que uma resposta bonita sem registro.</w:t>
      </w:r>
    </w:p>
    <w:p>
      <w:r>
        <w:br w:type="page"/>
      </w:r>
    </w:p>
    <w:p>
      <w:pPr>
        <w:spacing w:after="100"/>
      </w:pPr>
      <w:r>
        <w:rPr>
          <w:rFonts w:ascii="Arial" w:hAnsi="Arial"/>
          <w:b/>
          <w:color w:val="087E83"/>
          <w:sz w:val="18"/>
        </w:rPr>
        <w:t>CONSULTA DO PROFESSOR • NÃO LER COMO DISCURSO</w:t>
      </w:r>
    </w:p>
    <w:p>
      <w:pPr>
        <w:pStyle w:val="Heading1"/>
      </w:pPr>
      <w:r>
        <w:t>Preparação rápida e plano de contingência</w:t>
      </w:r>
    </w:p>
    <w:p>
      <w:pPr>
        <w:spacing w:after="140"/>
        <w:ind w:left="238" w:hanging="238"/>
      </w:pPr>
      <w:r>
        <w:rPr>
          <w:rFonts w:ascii="Arial" w:hAnsi="Arial"/>
        </w:rPr>
        <w:t>1. Use somente esta edição estática 4.0 e seus dois documentos atualizados. Não siga a instalação do pacote Biblioteca Protegida: não precisa de Node, npx, D1, login ou Secrets para esta aula.</w:t>
      </w:r>
    </w:p>
    <w:p>
      <w:pPr>
        <w:spacing w:after="140"/>
        <w:ind w:left="238" w:hanging="238"/>
      </w:pPr>
      <w:r>
        <w:rPr>
          <w:rFonts w:ascii="Arial" w:hAnsi="Arial"/>
        </w:rPr>
        <w:t>2. Publique os arquivos de Publicar_Site145_Estatico.zip em um projeto estático novo no plano gratuito. O guia de publicação separado explica Pages por arrastar e soltar. Não substitua Missão Alinhar nem ative serviços pagos.</w:t>
      </w:r>
    </w:p>
    <w:p>
      <w:pPr>
        <w:spacing w:after="140"/>
        <w:ind w:left="238" w:hanging="238"/>
      </w:pPr>
      <w:r>
        <w:rPr>
          <w:rFonts w:ascii="Arial" w:hAnsi="Arial"/>
        </w:rPr>
        <w:t>3. Abra a URL final num celular e num computador. Teste busca por “Site 145”, calculadora, os três links de vídeos e os downloads do guia. Não presumimos que a publicação já ocorreu.</w:t>
      </w:r>
    </w:p>
    <w:p>
      <w:pPr>
        <w:spacing w:after="140"/>
        <w:ind w:left="238" w:hanging="238"/>
      </w:pPr>
      <w:r>
        <w:rPr>
          <w:rFonts w:ascii="Arial" w:hAnsi="Arial"/>
        </w:rPr>
        <w:t>4. Teste uma pergunta com o chat de IA escolhido antes da aula. Não há API paga no site, mas o serviço externo tem seus limites de uso e pode exigir conta.</w:t>
      </w:r>
    </w:p>
    <w:p>
      <w:pPr>
        <w:spacing w:after="140"/>
        <w:ind w:left="238" w:hanging="238"/>
      </w:pPr>
      <w:r>
        <w:rPr>
          <w:rFonts w:ascii="Arial" w:hAnsi="Arial"/>
        </w:rPr>
        <w:t>5. Mostre primeiro projeto e arquitetura global. Use a ponte real em seguida. Só então faça a comparação com modos sem modelo.</w:t>
      </w:r>
    </w:p>
    <w:p>
      <w:pPr>
        <w:spacing w:after="140"/>
        <w:ind w:left="238" w:hanging="238"/>
      </w:pPr>
      <w:r>
        <w:rPr>
          <w:rFonts w:ascii="Arial" w:hAnsi="Arial"/>
        </w:rPr>
        <w:t>6. Antes de uma nova execução, exporte os registros que quer conservar. Depois de mudar permissões ou o experimento de falha, inicie outro encargo.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73"/>
        <w:gridCol w:w="6265"/>
      </w:tblGrid>
      <w:tr>
        <w:trPr>
          <w:tblHeader/>
        </w:trPr>
        <w:tc>
          <w:tcPr>
            <w:tcW w:type="dxa" w:w="3373"/>
            <w:shd w:fill="143A41"/>
          </w:tcPr>
          <w:p>
            <w:r>
              <w:rPr>
                <w:b/>
                <w:color w:val="FFFFFF"/>
                <w:sz w:val="18"/>
              </w:rPr>
              <w:t>Problema</w:t>
            </w:r>
          </w:p>
        </w:tc>
        <w:tc>
          <w:tcPr>
            <w:tcW w:type="dxa" w:w="6265"/>
            <w:shd w:fill="143A41"/>
          </w:tcPr>
          <w:p>
            <w:r>
              <w:rPr>
                <w:b/>
                <w:color w:val="FFFFFF"/>
                <w:sz w:val="18"/>
              </w:rPr>
              <w:t>Conduta</w:t>
            </w:r>
          </w:p>
        </w:tc>
      </w:tr>
      <w:tr>
        <w:trPr>
          <w:cantSplit/>
        </w:trPr>
        <w:tc>
          <w:tcPr>
            <w:tcW w:type="dxa" w:w="3373"/>
            <w:vAlign w:val="top"/>
            <w:shd w:fill="F0F5F6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A cópia não funciona no celular</w:t>
            </w:r>
          </w:p>
        </w:tc>
        <w:tc>
          <w:tcPr>
            <w:tcW w:type="dxa" w:w="6265"/>
            <w:vAlign w:val="top"/>
            <w:shd w:fill="F0F5F6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Use Selecionar texto completo; copie manualmente ou salve o TXT.</w:t>
            </w:r>
          </w:p>
        </w:tc>
      </w:tr>
      <w:tr>
        <w:trPr>
          <w:cantSplit/>
        </w:trPr>
        <w:tc>
          <w:tcPr>
            <w:tcW w:type="dxa" w:w="3373"/>
            <w:vAlign w:val="top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A IA devolve prosa ou vários objetos</w:t>
            </w:r>
          </w:p>
        </w:tc>
        <w:tc>
          <w:tcPr>
            <w:tcW w:type="dxa" w:w="6265"/>
            <w:vAlign w:val="top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Reenvie contexto e peça UM objeto com acao/argumentos. Não altere permissões.</w:t>
            </w:r>
          </w:p>
        </w:tc>
      </w:tr>
      <w:tr>
        <w:trPr>
          <w:cantSplit/>
        </w:trPr>
        <w:tc>
          <w:tcPr>
            <w:tcW w:type="dxa" w:w="3373"/>
            <w:vAlign w:val="top"/>
            <w:shd w:fill="F0F5F6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A IA repete buscar_fontes</w:t>
            </w:r>
          </w:p>
        </w:tc>
        <w:tc>
          <w:tcPr>
            <w:tcW w:type="dxa" w:w="6265"/>
            <w:vAlign w:val="top"/>
            <w:shd w:fill="F0F5F6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Leve os resultados e a pergunta pelo botão 3; peça a conclusão quando houver base.</w:t>
            </w:r>
          </w:p>
        </w:tc>
      </w:tr>
      <w:tr>
        <w:trPr>
          <w:cantSplit/>
        </w:trPr>
        <w:tc>
          <w:tcPr>
            <w:tcW w:type="dxa" w:w="3373"/>
            <w:vAlign w:val="top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Conta do chat indisponível</w:t>
            </w:r>
          </w:p>
        </w:tc>
        <w:tc>
          <w:tcPr>
            <w:tcW w:type="dxa" w:w="6265"/>
            <w:vAlign w:val="top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Demonstre com uma conta autorizada do professor ou rotule a alternativa como teste de contrato.</w:t>
            </w:r>
          </w:p>
        </w:tc>
      </w:tr>
      <w:tr>
        <w:trPr>
          <w:cantSplit/>
        </w:trPr>
        <w:tc>
          <w:tcPr>
            <w:tcW w:type="dxa" w:w="3373"/>
            <w:vAlign w:val="top"/>
            <w:shd w:fill="F0F5F6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Página recarregada / estado perdido</w:t>
            </w:r>
          </w:p>
        </w:tc>
        <w:tc>
          <w:tcPr>
            <w:tcW w:type="dxa" w:w="6265"/>
            <w:vAlign w:val="top"/>
            <w:shd w:fill="F0F5F6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Verifique a recuperação da aba. Importe um backup para o projeto; não suponha execução de ações durante a ausência.</w:t>
            </w:r>
          </w:p>
        </w:tc>
      </w:tr>
    </w:tbl>
    <w:p>
      <w:pPr>
        <w:spacing w:after="0"/>
      </w:pPr>
      <w:r>
        <w:rPr>
          <w:rFonts w:ascii="Arial" w:hAnsi="Arial"/>
        </w:rPr>
      </w:r>
    </w:p>
    <w:p>
      <w:r>
        <w:rPr>
          <w:rFonts w:ascii="Arial" w:hAnsi="Arial"/>
        </w:rPr>
        <w:t>A biblioteca inicial é pública. Adicionar uma nota não a publica para todos. A hospedagem estática e o chat externo são serviços distintos. Esta edição não tem credenciais nem cria cobranças de inferência. [S1, T3]</w:t>
      </w:r>
    </w:p>
    <w:p>
      <w:r>
        <w:br w:type="page"/>
      </w:r>
    </w:p>
    <w:p>
      <w:pPr>
        <w:spacing w:after="100"/>
      </w:pPr>
      <w:r>
        <w:rPr>
          <w:rFonts w:ascii="Arial" w:hAnsi="Arial"/>
          <w:b/>
          <w:color w:val="087E83"/>
          <w:sz w:val="18"/>
        </w:rPr>
        <w:t>REFERÊNCIAS E CORRESPONDÊNCIA</w:t>
      </w:r>
    </w:p>
    <w:p>
      <w:pPr>
        <w:pStyle w:val="Heading1"/>
      </w:pPr>
      <w:r>
        <w:t>Base desta edição</w:t>
      </w:r>
    </w:p>
    <w:p>
      <w:r>
        <w:rPr>
          <w:rFonts w:ascii="Arial" w:hAnsi="Arial"/>
        </w:rPr>
        <w:t>O roteiro preserva o enquadramento do projeto fornecido pelo professor e acompanha os botões da edição estática 4.0. Não acrescenta evidências arqueológicas, geológicas ou históricas às fontes originais. A explicação de JSON e da hospedagem utiliza documentação técnica externa, identificada abaixo.</w:t>
      </w:r>
    </w:p>
    <w:p>
      <w:pPr>
        <w:spacing w:line="252" w:lineRule="auto" w:after="120"/>
      </w:pPr>
      <w:r>
        <w:rPr>
          <w:rFonts w:ascii="Arial" w:hAnsi="Arial"/>
          <w:sz w:val="17"/>
        </w:rPr>
        <w:t>[S1] Laboratório Site 145, index.html, edição estática 4.0 (21/10/2026). Fonte operacional dos botões, contratos, limites e atividades deste guia. Biblioteca inicial: 15 fichas e 17 conjuntos de medições.</w:t>
      </w:r>
    </w:p>
    <w:p>
      <w:pPr>
        <w:spacing w:line="252" w:lineRule="auto" w:after="120"/>
      </w:pPr>
      <w:r>
        <w:rPr>
          <w:rFonts w:ascii="Arial" w:hAnsi="Arial"/>
          <w:sz w:val="17"/>
        </w:rPr>
        <w:t>[F1] ROPERO PELÁEZ, Javier. Site 145: a geomagnetic “Mecca” for ancient megalith builders. Manuscrito fornecido pelo autor. Métodos: pp. 5–7; tabela: p. 8; casos não alinhados: p. 14. Não se presume publicação nem validação externa.</w:t>
      </w:r>
    </w:p>
    <w:p>
      <w:pPr>
        <w:spacing w:line="252" w:lineRule="auto" w:after="120"/>
      </w:pPr>
      <w:r>
        <w:rPr>
          <w:rFonts w:ascii="Arial" w:hAnsi="Arial"/>
          <w:sz w:val="17"/>
        </w:rPr>
        <w:t>[F2] Planilha “alineacion con Poseidonia dos medidas (Journal of archaeology) definitiva.xls”. Coordenadas e fórmulas extraídas anteriormente; a edição estática conserva os valores e sua procedência.</w:t>
      </w:r>
    </w:p>
    <w:p>
      <w:pPr>
        <w:spacing w:line="252" w:lineRule="auto" w:after="120"/>
      </w:pPr>
      <w:r>
        <w:rPr>
          <w:rFonts w:ascii="Arial" w:hAnsi="Arial"/>
          <w:sz w:val="17"/>
        </w:rPr>
        <w:t>[F3] Transcrição fornecida de TEDxUFABC: 02:25–02:57, 03:14–04:17 e 09:56–10:25. Vídeo: https://youtu.be/O1pCenSVsRg. O buscador consulta texto, não analisa automaticamente a imagem dos vídeos.</w:t>
      </w:r>
    </w:p>
    <w:p>
      <w:pPr>
        <w:spacing w:line="252" w:lineRule="auto" w:after="120"/>
      </w:pPr>
      <w:r>
        <w:rPr>
          <w:rFonts w:ascii="Arial" w:hAnsi="Arial"/>
          <w:sz w:val="17"/>
        </w:rPr>
        <w:t>[F4] ROPERO PELÁEZ, Francisco Javier. W. Versão fornecida para estudantes de espanhol, 2011, p. 2. Obra narrativa, distinguida de relatório científico.</w:t>
      </w:r>
    </w:p>
    <w:p>
      <w:pPr>
        <w:spacing w:line="252" w:lineRule="auto" w:after="120"/>
      </w:pPr>
      <w:r>
        <w:rPr>
          <w:rFonts w:ascii="Arial" w:hAnsi="Arial"/>
          <w:sz w:val="17"/>
        </w:rPr>
        <w:t>[T1] RFC 8259 — The JavaScript Object Notation (JSON) Data Interchange Format. https://www.rfc-editor.org/rfc/rfc8259</w:t>
      </w:r>
    </w:p>
    <w:p>
      <w:pPr>
        <w:spacing w:line="252" w:lineRule="auto" w:after="120"/>
      </w:pPr>
      <w:r>
        <w:rPr>
          <w:rFonts w:ascii="Arial" w:hAnsi="Arial"/>
          <w:sz w:val="17"/>
        </w:rPr>
        <w:t>[T2] OpenAI — Function calling. https://developers.openai.com/api/docs/guides/function-calling. Referência do ciclo programático; a ponte desta atividade é manual, não uma chamada nativa à API.</w:t>
      </w:r>
    </w:p>
    <w:p>
      <w:pPr>
        <w:spacing w:line="252" w:lineRule="auto" w:after="120"/>
      </w:pPr>
      <w:r>
        <w:rPr>
          <w:rFonts w:ascii="Arial" w:hAnsi="Arial"/>
          <w:sz w:val="17"/>
        </w:rPr>
        <w:t>[T3] Cloudflare Pages — Pricing. https://developers.cloudflare.com/pages/functions/pricing/ ; Direct Upload: https://developers.cloudflare.com/pages/get-started/direct-upload/ . Documentação de hospedagem consultada em 21/10/2026.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DF5F4"/>
          </w:tcPr>
          <w:p>
            <w:pPr>
              <w:spacing w:before="120" w:after="120"/>
            </w:pPr>
            <w:r>
              <w:rPr>
                <w:rFonts w:ascii="Arial" w:hAnsi="Arial"/>
                <w:sz w:val="19"/>
              </w:rPr>
              <w:t>Conferência técnica: consultas e cálculos são executados pelo programa; o transporte ao LLM é manual. Os testes de interface utilizam JSONs controlados e não demonstram qualidade de um modelo comercial. A nota de verificação do pacote detalha o ambiente e as limitações das provas.</w:t>
            </w:r>
          </w:p>
        </w:tc>
      </w:tr>
    </w:tbl>
    <w:p>
      <w:pPr>
        <w:spacing w:after="0"/>
      </w:pPr>
      <w:r>
        <w:rPr>
          <w:rFonts w:ascii="Arial" w:hAnsi="Arial"/>
        </w:rPr>
      </w:r>
    </w:p>
    <w:p>
      <w:r>
        <w:rPr>
          <w:rFonts w:ascii="Arial" w:hAnsi="Arial"/>
        </w:rPr>
        <w:t>No guia dos alunos: acesso e visão global nas primeiras páginas; Atividades 1–6 e exploração opcional no corpo; contratos, entrega e referências antes do gabarito; soluções comentadas somente nas quatro últimas páginas. Não há necessidade de usar a numeração de versões anteriores.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935" w:left="1134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0747D"/>
        <w:sz w:val="16"/>
      </w:rPr>
      <w:t xml:space="preserve">Roteiro do professor · Edição estática 4.0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  <w:spacing w:after="0"/>
    </w:pPr>
    <w:r>
      <w:t>SITE 145  /  PROJETO • ARQUITETURA • AÇÃO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40"/>
    </w:pPr>
    <w:rPr>
      <w:rFonts w:ascii="Arial" w:hAnsi="Arial"/>
      <w:color w:val="203A4A"/>
      <w:sz w:val="21"/>
      <w:lang w:val="pt-B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143A41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60"/>
      <w:outlineLvl w:val="1"/>
    </w:pPr>
    <w:rPr>
      <w:rFonts w:asciiTheme="majorHAnsi" w:eastAsiaTheme="majorEastAsia" w:hAnsiTheme="majorHAnsi" w:cstheme="majorBidi" w:ascii="Arial" w:hAnsi="Arial"/>
      <w:b/>
      <w:bCs/>
      <w:color w:val="087E83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180"/>
      <w:contextualSpacing/>
    </w:pPr>
    <w:rPr>
      <w:rFonts w:asciiTheme="majorHAnsi" w:eastAsiaTheme="majorEastAsia" w:hAnsiTheme="majorHAnsi" w:cstheme="majorBidi" w:ascii="Arial" w:hAnsi="Arial"/>
      <w:b/>
      <w:color w:val="143A41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5E737B"/>
      <w:sz w:val="16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igo">
    <w:name w:val="Codigo"/>
    <w:pPr>
      <w:keepLines/>
      <w:spacing w:line="240" w:lineRule="auto" w:after="160"/>
      <w:ind w:left="102" w:right="68"/>
    </w:pPr>
    <w:rPr>
      <w:rFonts w:ascii="DejaVu Sans Mono" w:hAnsi="DejaVu Sans Mono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 145 — Roteiro do professor</dc:title>
  <dc:subject>Arquitetura de sistemas agênticos; ponte manual JSON; edição estática 4.0</dc:subject>
  <dc:creator>Francisco Javier Ropero Peláez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